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0" w:line="240" w:lineRule="auto"/>
        <w:ind w:left="-566.9291338582677" w:firstLine="0"/>
        <w:rPr/>
      </w:pPr>
      <w:bookmarkStart w:colFirst="0" w:colLast="0" w:name="_zb47aig6v7hg" w:id="0"/>
      <w:bookmarkEnd w:id="0"/>
      <w:r w:rsidDel="00000000" w:rsidR="00000000" w:rsidRPr="00000000">
        <w:rPr>
          <w:rtl w:val="0"/>
        </w:rPr>
        <w:t xml:space="preserve">CMI Artificial Intelligence (AI) Checklist V1 - March 2026</w:t>
      </w:r>
    </w:p>
    <w:p w:rsidR="00000000" w:rsidDel="00000000" w:rsidP="00000000" w:rsidRDefault="00000000" w:rsidRPr="00000000" w14:paraId="00000002">
      <w:pPr>
        <w:pStyle w:val="Heading2"/>
        <w:ind w:hanging="566.9291338582677"/>
        <w:rPr>
          <w:rFonts w:ascii="Nunito" w:cs="Nunito" w:eastAsia="Nunito" w:hAnsi="Nunito"/>
          <w:b w:val="1"/>
          <w:bCs w:val="1"/>
          <w:color w:val="272727"/>
        </w:rPr>
      </w:pPr>
      <w:bookmarkStart w:colFirst="0" w:colLast="0" w:name="_l7at00jpab28" w:id="1"/>
      <w:bookmarkEnd w:id="1"/>
      <w:r w:rsidDel="00000000" w:rsidR="00000000" w:rsidRPr="00000000">
        <w:rPr>
          <w:rFonts w:ascii="Nunito" w:cs="Nunito" w:eastAsia="Nunito" w:hAnsi="Nunito"/>
          <w:b w:val="1"/>
          <w:bCs w:val="1"/>
          <w:color w:val="272727"/>
          <w:rtl w:val="0"/>
        </w:rPr>
        <w:t xml:space="preserve">PP00019</w:t>
      </w:r>
    </w:p>
    <w:p w:rsidR="00000000" w:rsidDel="00000000" w:rsidP="00000000" w:rsidRDefault="00000000" w:rsidRPr="00000000" w14:paraId="0000000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keepNext w:val="1"/>
        <w:keepLines w:val="1"/>
        <w:spacing w:after="0" w:before="0" w:line="240" w:lineRule="auto"/>
        <w:ind w:left="-566.9291338582677" w:right="-324.3307086614169" w:firstLine="0"/>
        <w:jc w:val="both"/>
        <w:rPr>
          <w:rFonts w:ascii="Nunito" w:cs="Nunito" w:eastAsia="Nunito" w:hAnsi="Nunito"/>
          <w:sz w:val="20"/>
          <w:szCs w:val="20"/>
        </w:rPr>
      </w:pPr>
      <w:bookmarkStart w:colFirst="0" w:colLast="0" w:name="_wxw26ibio83z" w:id="2"/>
      <w:bookmarkEnd w:id="2"/>
      <w:r w:rsidDel="00000000" w:rsidR="00000000" w:rsidRPr="00000000">
        <w:rPr>
          <w:rFonts w:ascii="Nunito" w:cs="Nunito" w:eastAsia="Nunito" w:hAnsi="Nunito"/>
          <w:sz w:val="20"/>
          <w:szCs w:val="20"/>
          <w:rtl w:val="0"/>
        </w:rPr>
        <w:t xml:space="preserve">This checklist may be used to note indicators of suspected AI misuse within a learner's submitted assessment.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ind w:left="-566.9291338582677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515.0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7635"/>
        <w:tblGridChange w:id="0">
          <w:tblGrid>
            <w:gridCol w:w="2880"/>
            <w:gridCol w:w="7635"/>
          </w:tblGrid>
        </w:tblGridChange>
      </w:tblGrid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rtl w:val="0"/>
              </w:rPr>
              <w:t xml:space="preserve">Learner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rtl w:val="0"/>
              </w:rPr>
              <w:t xml:space="preserve">Learner CMI Number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rtl w:val="0"/>
              </w:rPr>
              <w:t xml:space="preserve">Centre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rtl w:val="0"/>
              </w:rPr>
              <w:t xml:space="preserve">Qualification / Programme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rtl w:val="0"/>
              </w:rPr>
              <w:t xml:space="preserve">Unit / Module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0" w:line="276" w:lineRule="auto"/>
        <w:ind w:left="-566.9291338582677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530.0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5"/>
        <w:gridCol w:w="8640"/>
        <w:gridCol w:w="1335"/>
        <w:tblGridChange w:id="0">
          <w:tblGrid>
            <w:gridCol w:w="555"/>
            <w:gridCol w:w="8640"/>
            <w:gridCol w:w="1335"/>
          </w:tblGrid>
        </w:tblGridChange>
      </w:tblGrid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rFonts w:ascii="Nunito" w:cs="Nunito" w:eastAsia="Nunito" w:hAnsi="Nuni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>
                <w:rFonts w:ascii="Nunito" w:cs="Nunito" w:eastAsia="Nunito" w:hAnsi="Nuni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color w:val="000000"/>
                <w:rtl w:val="0"/>
              </w:rPr>
              <w:t xml:space="preserve">Indicator </w:t>
            </w:r>
          </w:p>
        </w:tc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rFonts w:ascii="Nunito" w:cs="Nunito" w:eastAsia="Nunito" w:hAnsi="Nuni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color w:val="000000"/>
                <w:rtl w:val="0"/>
              </w:rPr>
              <w:t xml:space="preserve">Tick if Identified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Work submitted for assessment is of a higher level than previous submissions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Unusual intricacy or a depth of understanding beyond the Learner's typical capability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Work submitted for assessment is very different from previous submissions in terms of -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Changes in font within the document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Spelling, punctuation and grammatical usage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Writing style and tone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Vocabulary and Irregular use of language - complexity and coherence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General understanding and working level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Grey background due to copying and pasting directly from an AI system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Uncharacteristic shifts in style or vocabulary may indicate the use of advanced language models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Layout - structured in such a way that it shows too many bulleted paragraphs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A lack of specific local or job-related knowledge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Use of American spelling, currency, terms and other localisations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Lack of direct quotations and/or use of references where these are required/expected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Overuse of direct quotations and/or use of references that are not related to the assessment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Inclusion of references which cannot be found or verified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A lack of reference to events occurring after a certain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Use of language, vocabulary  or content which might not be appropriate to the qualification level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Instances of incorrect/inconsistent use of first-person and third-person perspectives where generated text is left unaltered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A variation in the style of language/text evidenced in a submission between assessment criteria if a Learner has taken significant portions of text from AI and then amended this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Content being more generic in nature rather than relating to the Learner themself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The inclusion of incorrect statements within otherwise cohesive content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Overly verbose or hyperbolic language that may not be in keeping with the Learner’s usual style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Proficiency in topics not yet covered in the syllabus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Short period from issuing the assessment to the Learner completing the assessment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color w:val="000000"/>
                <w:rtl w:val="0"/>
              </w:rPr>
              <w:t xml:space="preserve">The Centre use AI plagiarism detection software, and the overall % is above the Centre's agreed %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spacing w:after="0" w:line="276" w:lineRule="auto"/>
        <w:ind w:left="-566.9291338582677" w:right="-704.5275590551165" w:firstLine="0"/>
        <w:jc w:val="left"/>
        <w:rPr>
          <w:rFonts w:ascii="Nunito" w:cs="Nunito" w:eastAsia="Nunito" w:hAnsi="Nunito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45.0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45"/>
        <w:tblGridChange w:id="0">
          <w:tblGrid>
            <w:gridCol w:w="105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color w:val="000000"/>
                <w:rtl w:val="0"/>
              </w:rPr>
              <w:t xml:space="preserve">Any further notes: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spacing w:after="0" w:line="276" w:lineRule="auto"/>
        <w:ind w:left="-566.9291338582677" w:right="-704.5275590551165" w:firstLine="0"/>
        <w:jc w:val="left"/>
        <w:rPr>
          <w:rFonts w:ascii="Nunito" w:cs="Nunito" w:eastAsia="Nunito" w:hAnsi="Nunito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30.0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7875"/>
        <w:tblGridChange w:id="0">
          <w:tblGrid>
            <w:gridCol w:w="2655"/>
            <w:gridCol w:w="7875"/>
          </w:tblGrid>
        </w:tblGridChange>
      </w:tblGrid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color w:val="000000"/>
                <w:rtl w:val="0"/>
              </w:rPr>
              <w:t xml:space="preserve">Reviewer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color w:val="000000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color w:val="000000"/>
                <w:rtl w:val="0"/>
              </w:rPr>
              <w:t xml:space="preserve">Position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spacing w:after="0" w:line="276" w:lineRule="auto"/>
        <w:ind w:left="-566.9291338582677" w:right="-704.5275590551165" w:firstLine="0"/>
        <w:jc w:val="left"/>
        <w:rPr>
          <w:rFonts w:ascii="Nunito" w:cs="Nunito" w:eastAsia="Nunito" w:hAnsi="Nunito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pgSz w:h="15840" w:w="12240" w:orient="portrait"/>
      <w:pgMar w:bottom="1080" w:top="1080" w:left="1440" w:right="1440" w:header="0" w:footer="850.3937007874016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Nunito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Extra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uni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romp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unito 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widowControl w:val="0"/>
      <w:spacing w:after="0" w:before="0" w:line="240" w:lineRule="auto"/>
      <w:rPr>
        <w:rFonts w:ascii="Nunito ExtraLight" w:cs="Nunito ExtraLight" w:eastAsia="Nunito ExtraLight" w:hAnsi="Nunito ExtraLight"/>
        <w:i w:val="1"/>
        <w:iCs w:val="1"/>
        <w:color w:val="32343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5543550</wp:posOffset>
          </wp:positionH>
          <wp:positionV relativeFrom="paragraph">
            <wp:posOffset>114300</wp:posOffset>
          </wp:positionV>
          <wp:extent cx="1023938" cy="46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3938" cy="4638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E">
    <w:pPr>
      <w:widowControl w:val="0"/>
      <w:spacing w:after="0" w:before="0" w:line="240" w:lineRule="auto"/>
      <w:rPr>
        <w:rFonts w:ascii="Nunito ExtraLight" w:cs="Nunito ExtraLight" w:eastAsia="Nunito ExtraLight" w:hAnsi="Nunito ExtraLight"/>
        <w:i w:val="1"/>
        <w:iCs w:val="1"/>
        <w:color w:val="323439"/>
        <w:sz w:val="16"/>
        <w:szCs w:val="16"/>
      </w:rPr>
    </w:pPr>
    <w:r w:rsidDel="00000000" w:rsidR="00000000" w:rsidRPr="00000000">
      <w:rPr>
        <w:rFonts w:ascii="Nunito ExtraLight" w:cs="Nunito ExtraLight" w:eastAsia="Nunito ExtraLight" w:hAnsi="Nunito ExtraLight"/>
        <w:i w:val="1"/>
        <w:iCs w:val="1"/>
        <w:color w:val="323439"/>
        <w:sz w:val="16"/>
        <w:szCs w:val="16"/>
        <w:rtl w:val="0"/>
      </w:rPr>
      <w:t xml:space="preserve">www.managers.org.uk</w:t>
    </w:r>
  </w:p>
  <w:p w:rsidR="00000000" w:rsidDel="00000000" w:rsidP="00000000" w:rsidRDefault="00000000" w:rsidRPr="00000000" w14:paraId="0000006F">
    <w:pPr>
      <w:widowControl w:val="0"/>
      <w:spacing w:after="0" w:before="0" w:line="240" w:lineRule="auto"/>
      <w:rPr>
        <w:sz w:val="20"/>
        <w:szCs w:val="20"/>
      </w:rPr>
    </w:pPr>
    <w:r w:rsidDel="00000000" w:rsidR="00000000" w:rsidRPr="00000000">
      <w:rPr>
        <w:rFonts w:ascii="Nunito ExtraLight" w:cs="Nunito ExtraLight" w:eastAsia="Nunito ExtraLight" w:hAnsi="Nunito ExtraLight"/>
        <w:i w:val="1"/>
        <w:iCs w:val="1"/>
        <w:color w:val="323439"/>
        <w:sz w:val="16"/>
        <w:szCs w:val="16"/>
        <w:rtl w:val="0"/>
      </w:rPr>
      <w:t xml:space="preserve">#BetterManagers</w:t>
    </w:r>
    <w:r w:rsidDel="00000000" w:rsidR="00000000" w:rsidRPr="00000000">
      <w:rPr>
        <w:rFonts w:ascii="Nunito ExtraLight" w:cs="Nunito ExtraLight" w:eastAsia="Nunito ExtraLight" w:hAnsi="Nunito ExtraLight"/>
        <w:color w:val="323439"/>
        <w:sz w:val="20"/>
        <w:szCs w:val="20"/>
        <w:rtl w:val="0"/>
      </w:rPr>
      <w:tab/>
      <w:tab/>
      <w:tab/>
      <w:tab/>
      <w:tab/>
      <w:t xml:space="preserve">     </w:t>
    </w:r>
    <w:r w:rsidDel="00000000" w:rsidR="00000000" w:rsidRPr="00000000">
      <w:rPr>
        <w:rFonts w:ascii="Nunito ExtraLight" w:cs="Nunito ExtraLight" w:eastAsia="Nunito ExtraLight" w:hAnsi="Nunito ExtraLight"/>
        <w:color w:val="323439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Nunito ExtraLight" w:cs="Nunito ExtraLight" w:eastAsia="Nunito ExtraLight" w:hAnsi="Nunito ExtraLight"/>
        <w:color w:val="323439"/>
        <w:sz w:val="20"/>
        <w:szCs w:val="20"/>
        <w:rtl w:val="0"/>
      </w:rPr>
      <w:t xml:space="preserve">/</w:t>
    </w:r>
    <w:r w:rsidDel="00000000" w:rsidR="00000000" w:rsidRPr="00000000">
      <w:rPr>
        <w:rFonts w:ascii="Nunito ExtraLight" w:cs="Nunito ExtraLight" w:eastAsia="Nunito ExtraLight" w:hAnsi="Nunito ExtraLight"/>
        <w:color w:val="323439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342900</wp:posOffset>
          </wp:positionV>
          <wp:extent cx="6162675" cy="180000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68531" l="0" r="0" t="29404"/>
                  <a:stretch>
                    <a:fillRect/>
                  </a:stretch>
                </pic:blipFill>
                <pic:spPr>
                  <a:xfrm>
                    <a:off x="0" y="0"/>
                    <a:ext cx="6162675" cy="180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-323849</wp:posOffset>
          </wp:positionH>
          <wp:positionV relativeFrom="paragraph">
            <wp:posOffset>333375</wp:posOffset>
          </wp:positionV>
          <wp:extent cx="6405563" cy="190500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68531" l="0" r="0" t="29404"/>
                  <a:stretch>
                    <a:fillRect/>
                  </a:stretch>
                </pic:blipFill>
                <pic:spPr>
                  <a:xfrm>
                    <a:off x="0" y="0"/>
                    <a:ext cx="6405563" cy="1905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unito Light" w:cs="Nunito Light" w:eastAsia="Nunito Light" w:hAnsi="Nunito Light"/>
        <w:color w:val="353744"/>
        <w:lang w:val="en"/>
      </w:rPr>
    </w:rPrDefault>
    <w:pPrDefault>
      <w:pPr>
        <w:spacing w:after="320" w:line="312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after="240" w:before="360" w:line="240" w:lineRule="auto"/>
    </w:pPr>
    <w:rPr>
      <w:rFonts w:ascii="Prompt" w:cs="Prompt" w:eastAsia="Prompt" w:hAnsi="Prompt"/>
      <w:b w:val="1"/>
      <w:bCs w:val="1"/>
      <w:color w:val="272727"/>
      <w:sz w:val="32"/>
      <w:szCs w:val="32"/>
    </w:rPr>
  </w:style>
  <w:style w:type="paragraph" w:styleId="Heading2">
    <w:name w:val="heading 2"/>
    <w:basedOn w:val="Normal"/>
    <w:next w:val="Normal"/>
    <w:pPr>
      <w:spacing w:line="240" w:lineRule="auto"/>
    </w:pPr>
    <w:rPr>
      <w:color w:val="d10074"/>
    </w:rPr>
  </w:style>
  <w:style w:type="paragraph" w:styleId="Heading3">
    <w:name w:val="heading 3"/>
    <w:basedOn w:val="Normal"/>
    <w:next w:val="Normal"/>
    <w:pPr/>
    <w:rPr/>
  </w:style>
  <w:style w:type="paragraph" w:styleId="Heading4">
    <w:name w:val="heading 4"/>
    <w:basedOn w:val="Normal"/>
    <w:next w:val="Normal"/>
    <w:pPr>
      <w:keepNext w:val="1"/>
      <w:keepLines w:val="1"/>
      <w:spacing w:after="120" w:lineRule="auto"/>
    </w:pPr>
    <w:rPr>
      <w:rFonts w:ascii="Nunito SemiBold" w:cs="Nunito SemiBold" w:eastAsia="Nunito SemiBold" w:hAnsi="Nunito SemiBold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Nunito ExtraLight" w:cs="Nunito ExtraLight" w:eastAsia="Nunito ExtraLight" w:hAnsi="Nunito ExtraLight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iCs w:val="1"/>
      <w:color w:val="666666"/>
    </w:rPr>
  </w:style>
  <w:style w:type="paragraph" w:styleId="Title">
    <w:name w:val="Title"/>
    <w:basedOn w:val="Normal"/>
    <w:next w:val="Normal"/>
    <w:pPr>
      <w:spacing w:after="120" w:line="240" w:lineRule="auto"/>
    </w:pPr>
    <w:rPr>
      <w:rFonts w:ascii="Prompt" w:cs="Prompt" w:eastAsia="Prompt" w:hAnsi="Prompt"/>
      <w:b w:val="1"/>
      <w:bCs w:val="1"/>
      <w:color w:val="272727"/>
      <w:sz w:val="60"/>
      <w:szCs w:val="60"/>
    </w:rPr>
  </w:style>
  <w:style w:type="paragraph" w:styleId="Subtitle">
    <w:name w:val="Subtitle"/>
    <w:basedOn w:val="Normal"/>
    <w:next w:val="Normal"/>
    <w:pPr>
      <w:spacing w:before="60" w:line="240" w:lineRule="auto"/>
    </w:pPr>
    <w:rPr>
      <w:rFonts w:ascii="Nunito ExtraLight" w:cs="Nunito ExtraLight" w:eastAsia="Nunito ExtraLight" w:hAnsi="Nunito ExtraLight"/>
      <w:color w:val="272727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NunitoLight-boldItalic.ttf"/><Relationship Id="rId11" Type="http://schemas.openxmlformats.org/officeDocument/2006/relationships/font" Target="fonts/Nunito-italic.ttf"/><Relationship Id="rId10" Type="http://schemas.openxmlformats.org/officeDocument/2006/relationships/font" Target="fonts/Nunito-bold.ttf"/><Relationship Id="rId13" Type="http://schemas.openxmlformats.org/officeDocument/2006/relationships/font" Target="fonts/Prompt-regular.ttf"/><Relationship Id="rId12" Type="http://schemas.openxmlformats.org/officeDocument/2006/relationships/font" Target="fonts/Nunito-boldItalic.ttf"/><Relationship Id="rId1" Type="http://schemas.openxmlformats.org/officeDocument/2006/relationships/font" Target="fonts/NunitoSemiBold-regular.ttf"/><Relationship Id="rId2" Type="http://schemas.openxmlformats.org/officeDocument/2006/relationships/font" Target="fonts/NunitoSemiBold-bold.ttf"/><Relationship Id="rId3" Type="http://schemas.openxmlformats.org/officeDocument/2006/relationships/font" Target="fonts/NunitoSemiBold-italic.ttf"/><Relationship Id="rId4" Type="http://schemas.openxmlformats.org/officeDocument/2006/relationships/font" Target="fonts/NunitoSemiBold-boldItalic.ttf"/><Relationship Id="rId9" Type="http://schemas.openxmlformats.org/officeDocument/2006/relationships/font" Target="fonts/Nunito-regular.ttf"/><Relationship Id="rId15" Type="http://schemas.openxmlformats.org/officeDocument/2006/relationships/font" Target="fonts/Prompt-italic.ttf"/><Relationship Id="rId14" Type="http://schemas.openxmlformats.org/officeDocument/2006/relationships/font" Target="fonts/Prompt-bold.ttf"/><Relationship Id="rId17" Type="http://schemas.openxmlformats.org/officeDocument/2006/relationships/font" Target="fonts/NunitoLight-regular.ttf"/><Relationship Id="rId16" Type="http://schemas.openxmlformats.org/officeDocument/2006/relationships/font" Target="fonts/Prompt-boldItalic.ttf"/><Relationship Id="rId5" Type="http://schemas.openxmlformats.org/officeDocument/2006/relationships/font" Target="fonts/NunitoExtraLight-regular.ttf"/><Relationship Id="rId19" Type="http://schemas.openxmlformats.org/officeDocument/2006/relationships/font" Target="fonts/NunitoLight-italic.ttf"/><Relationship Id="rId6" Type="http://schemas.openxmlformats.org/officeDocument/2006/relationships/font" Target="fonts/NunitoExtraLight-bold.ttf"/><Relationship Id="rId18" Type="http://schemas.openxmlformats.org/officeDocument/2006/relationships/font" Target="fonts/NunitoLight-bold.ttf"/><Relationship Id="rId7" Type="http://schemas.openxmlformats.org/officeDocument/2006/relationships/font" Target="fonts/NunitoExtraLight-italic.ttf"/><Relationship Id="rId8" Type="http://schemas.openxmlformats.org/officeDocument/2006/relationships/font" Target="fonts/NunitoExtra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